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92" w:rsidRPr="00FC1795" w:rsidRDefault="00161492" w:rsidP="001614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C1795">
        <w:rPr>
          <w:rFonts w:ascii="Times New Roman" w:hAnsi="Times New Roman" w:cs="Times New Roman"/>
          <w:b/>
          <w:sz w:val="28"/>
        </w:rPr>
        <w:t>Льготы</w:t>
      </w:r>
      <w:r w:rsidR="00FC1795">
        <w:rPr>
          <w:rFonts w:ascii="Times New Roman" w:hAnsi="Times New Roman" w:cs="Times New Roman"/>
          <w:b/>
          <w:sz w:val="28"/>
        </w:rPr>
        <w:t xml:space="preserve"> и субсидии для молодых семей, молодых специалистов в области здравоохранения</w:t>
      </w:r>
    </w:p>
    <w:p w:rsidR="00161492" w:rsidRPr="00FC1795" w:rsidRDefault="00161492" w:rsidP="001614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C1795">
        <w:rPr>
          <w:rFonts w:ascii="Times New Roman" w:hAnsi="Times New Roman" w:cs="Times New Roman"/>
          <w:b/>
          <w:sz w:val="28"/>
        </w:rPr>
        <w:t>на территории Саратовской области, предоставляемые государством</w:t>
      </w:r>
    </w:p>
    <w:p w:rsidR="00161492" w:rsidRPr="00161492" w:rsidRDefault="00161492" w:rsidP="001614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99"/>
        <w:gridCol w:w="2702"/>
        <w:gridCol w:w="5412"/>
        <w:gridCol w:w="6663"/>
      </w:tblGrid>
      <w:tr w:rsidR="00FC1795" w:rsidTr="005313DC">
        <w:tc>
          <w:tcPr>
            <w:tcW w:w="499" w:type="dxa"/>
          </w:tcPr>
          <w:p w:rsidR="00FE5604" w:rsidRPr="00FE5604" w:rsidRDefault="00FE5604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2" w:type="dxa"/>
          </w:tcPr>
          <w:p w:rsidR="00FE5604" w:rsidRPr="003B7398" w:rsidRDefault="00FC1795" w:rsidP="00FC17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FE5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2" w:type="dxa"/>
          </w:tcPr>
          <w:p w:rsidR="00FE5604" w:rsidRPr="00FE5604" w:rsidRDefault="00FE5604" w:rsidP="00FC17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6663" w:type="dxa"/>
          </w:tcPr>
          <w:p w:rsidR="00FE5604" w:rsidRPr="003B7398" w:rsidRDefault="00FC1795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  <w:r w:rsidR="0070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источник</w:t>
            </w:r>
          </w:p>
        </w:tc>
      </w:tr>
      <w:tr w:rsidR="00C8675B" w:rsidTr="005313DC">
        <w:tc>
          <w:tcPr>
            <w:tcW w:w="499" w:type="dxa"/>
          </w:tcPr>
          <w:p w:rsidR="00FE5604" w:rsidRPr="00FE5604" w:rsidRDefault="00FE5604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02" w:type="dxa"/>
          </w:tcPr>
          <w:p w:rsidR="00FE5604" w:rsidRDefault="00925BBA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761C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5BB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761C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308F" w:rsidRDefault="00D2308F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08F" w:rsidRPr="003B7398" w:rsidRDefault="00D2308F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E5284A" w:rsidRPr="00E5284A" w:rsidRDefault="00FC1795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получить</w:t>
            </w:r>
            <w:r w:rsidR="00FE5604" w:rsidRPr="00E528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284A" w:rsidRPr="00E5284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Жилые помещения по договору найма специализированного жилого помещения из специализированного государственного жилищного фонда области.</w:t>
            </w:r>
          </w:p>
          <w:p w:rsidR="00E5284A" w:rsidRPr="00E5284A" w:rsidRDefault="00E5284A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84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Специализированные жилые помещения предоставляются врачам, провизорам, специалистам со средним медицинским и фармацевтическим образованием государственных учреждений здравоохранения, проживающим и работающим в сельской местности, рабочих поселках (поселках городского типа), городах с численностью населения менее 50 тысяч человек, а также прибывшим (переехавшим) на работу в сельскую местность, рабочие поселки (поселки городского типа), города с численностью населения менее 50 тысяч человек (далее - медицинские работники)</w:t>
            </w:r>
            <w:proofErr w:type="gramEnd"/>
          </w:p>
          <w:p w:rsidR="00761C42" w:rsidRPr="00E5284A" w:rsidRDefault="00761C42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6808" w:rsidRPr="00776808" w:rsidRDefault="00776808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604" w:rsidRPr="00776808" w:rsidRDefault="00FE5604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C1795" w:rsidRDefault="00483CAD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1795" w:rsidRPr="00625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http://www.saratovmer.ru/houseforyoung</w:t>
              </w:r>
            </w:hyperlink>
          </w:p>
          <w:p w:rsidR="00FC1795" w:rsidRDefault="00FC1795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04" w:rsidRPr="00776808" w:rsidRDefault="00DA520A" w:rsidP="00DA52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декабря 2017 г. N 1710</w:t>
            </w:r>
            <w:r w:rsidR="00FC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08">
              <w:rPr>
                <w:rFonts w:ascii="Times New Roman" w:hAnsi="Times New Roman" w:cs="Times New Roman"/>
                <w:sz w:val="24"/>
                <w:szCs w:val="24"/>
              </w:rPr>
              <w:t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0C1983" w:rsidRPr="00776808" w:rsidRDefault="000C1983" w:rsidP="00DA52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83" w:rsidRPr="00776808" w:rsidRDefault="000C1983" w:rsidP="000C1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8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0C1983" w:rsidRPr="00776808" w:rsidRDefault="000C1983" w:rsidP="000C1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8">
              <w:rPr>
                <w:rFonts w:ascii="Times New Roman" w:hAnsi="Times New Roman" w:cs="Times New Roman"/>
                <w:sz w:val="24"/>
                <w:szCs w:val="24"/>
              </w:rPr>
              <w:t>к особенностям реализации отдельных мероприятий</w:t>
            </w:r>
          </w:p>
          <w:p w:rsidR="000C1983" w:rsidRPr="00776808" w:rsidRDefault="000C1983" w:rsidP="000C1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8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Российской Федерации</w:t>
            </w:r>
          </w:p>
          <w:p w:rsidR="000C1983" w:rsidRPr="00776808" w:rsidRDefault="000C1983" w:rsidP="000C1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8">
              <w:rPr>
                <w:rFonts w:ascii="Times New Roman" w:hAnsi="Times New Roman" w:cs="Times New Roman"/>
                <w:sz w:val="24"/>
                <w:szCs w:val="24"/>
              </w:rPr>
              <w:t>"Обеспечение доступным и комфортным жильем</w:t>
            </w:r>
          </w:p>
          <w:p w:rsidR="000C1983" w:rsidRPr="00776808" w:rsidRDefault="000C1983" w:rsidP="000C19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8">
              <w:rPr>
                <w:rFonts w:ascii="Times New Roman" w:hAnsi="Times New Roman" w:cs="Times New Roman"/>
                <w:sz w:val="24"/>
                <w:szCs w:val="24"/>
              </w:rPr>
              <w:t>и коммунальными услугами граждан Российской Федерации"</w:t>
            </w:r>
          </w:p>
          <w:p w:rsidR="00776808" w:rsidRPr="00E5284A" w:rsidRDefault="00776808" w:rsidP="00761C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95" w:rsidRPr="00E5284A" w:rsidRDefault="00776808" w:rsidP="00FC17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A">
              <w:rPr>
                <w:rFonts w:ascii="Times New Roman" w:hAnsi="Times New Roman" w:cs="Times New Roman"/>
                <w:sz w:val="24"/>
                <w:szCs w:val="24"/>
              </w:rPr>
              <w:t>Закон Саратовской области от 28 апреля 2005 г. N 39-ЗСО "О предоставлении жилых помещений в Саратовской области"</w:t>
            </w:r>
            <w:r w:rsidR="00E5284A" w:rsidRPr="00E5284A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 от  22 февраля, 26 июля 2023 г.</w:t>
            </w:r>
          </w:p>
          <w:p w:rsidR="00776808" w:rsidRPr="00776808" w:rsidRDefault="00776808" w:rsidP="00761C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26F" w:rsidTr="005313DC">
        <w:tc>
          <w:tcPr>
            <w:tcW w:w="499" w:type="dxa"/>
          </w:tcPr>
          <w:p w:rsidR="00D2308F" w:rsidRPr="00D2308F" w:rsidRDefault="00D2308F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D2308F" w:rsidRDefault="00D2308F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</w:t>
            </w:r>
            <w:r w:rsidR="00FC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8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ипотека</w:t>
            </w:r>
          </w:p>
        </w:tc>
        <w:tc>
          <w:tcPr>
            <w:tcW w:w="5412" w:type="dxa"/>
          </w:tcPr>
          <w:p w:rsidR="00D2308F" w:rsidRDefault="00D2308F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04">
              <w:rPr>
                <w:rFonts w:ascii="Times New Roman" w:hAnsi="Times New Roman" w:cs="Times New Roman"/>
                <w:b/>
                <w:sz w:val="24"/>
                <w:szCs w:val="24"/>
              </w:rPr>
              <w:t>Могут участвовать:</w:t>
            </w:r>
            <w:r w:rsidRPr="00FE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8F">
              <w:rPr>
                <w:rFonts w:ascii="Times New Roman" w:hAnsi="Times New Roman" w:cs="Times New Roman"/>
                <w:sz w:val="24"/>
                <w:szCs w:val="24"/>
              </w:rPr>
              <w:t>семьи, в которых с 1 январ</w:t>
            </w:r>
            <w:r w:rsidR="00FF4A4C">
              <w:rPr>
                <w:rFonts w:ascii="Times New Roman" w:hAnsi="Times New Roman" w:cs="Times New Roman"/>
                <w:sz w:val="24"/>
                <w:szCs w:val="24"/>
              </w:rPr>
              <w:t>я 2018 года и до 01.07.2024</w:t>
            </w:r>
            <w:r w:rsidRPr="00D2308F">
              <w:rPr>
                <w:rFonts w:ascii="Times New Roman" w:hAnsi="Times New Roman" w:cs="Times New Roman"/>
                <w:sz w:val="24"/>
                <w:szCs w:val="24"/>
              </w:rPr>
              <w:t xml:space="preserve"> года родился второй, третий или последующий ребенок</w:t>
            </w:r>
            <w:r w:rsidR="0098172A">
              <w:rPr>
                <w:rFonts w:ascii="Times New Roman" w:hAnsi="Times New Roman" w:cs="Times New Roman"/>
                <w:sz w:val="24"/>
                <w:szCs w:val="24"/>
              </w:rPr>
              <w:t>, при покупке квартиры на первичном рынке у юридического лица.</w:t>
            </w:r>
          </w:p>
          <w:p w:rsidR="00D2308F" w:rsidRDefault="00FC1795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получить</w:t>
            </w:r>
            <w:r w:rsidR="00D23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172A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7067D3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="0098172A">
              <w:rPr>
                <w:rFonts w:ascii="Times New Roman" w:hAnsi="Times New Roman" w:cs="Times New Roman"/>
                <w:sz w:val="24"/>
                <w:szCs w:val="24"/>
              </w:rPr>
              <w:t xml:space="preserve"> квартиру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ипотеку</w:t>
            </w:r>
            <w:r w:rsidR="0098172A">
              <w:rPr>
                <w:rFonts w:ascii="Times New Roman" w:hAnsi="Times New Roman" w:cs="Times New Roman"/>
                <w:sz w:val="24"/>
                <w:szCs w:val="24"/>
              </w:rPr>
              <w:t xml:space="preserve"> по льготной процентной ставке 6%.</w:t>
            </w:r>
          </w:p>
          <w:p w:rsidR="00295389" w:rsidRDefault="00295389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8F" w:rsidRPr="00FE5604" w:rsidRDefault="00D2308F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2308F" w:rsidRPr="00FC1795" w:rsidRDefault="00483CAD" w:rsidP="00D230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308F" w:rsidRPr="00FC1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https://www.gosuslugi.ru/help/news/2019_04_18_family_mortgage</w:t>
              </w:r>
            </w:hyperlink>
          </w:p>
          <w:p w:rsidR="00D2308F" w:rsidRDefault="00D2308F" w:rsidP="00D230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9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декабря 2017 г.</w:t>
            </w:r>
            <w:r w:rsidRPr="00D2308F">
              <w:rPr>
                <w:rFonts w:ascii="Times New Roman" w:hAnsi="Times New Roman" w:cs="Times New Roman"/>
                <w:sz w:val="24"/>
                <w:szCs w:val="24"/>
              </w:rPr>
              <w:t xml:space="preserve"> N 1711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8F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предоставления субсидий из федерального бюджета российским кредитным организациям и акционерному обществу "ДОМ</w:t>
            </w:r>
            <w:proofErr w:type="gramStart"/>
            <w:r w:rsidRPr="00D230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08F">
              <w:rPr>
                <w:rFonts w:ascii="Times New Roman" w:hAnsi="Times New Roman" w:cs="Times New Roman"/>
                <w:sz w:val="24"/>
                <w:szCs w:val="24"/>
              </w:rPr>
      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</w:t>
            </w:r>
            <w:r w:rsidR="00E5284A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</w:t>
            </w:r>
            <w:r w:rsidR="00E5284A" w:rsidRPr="00FF4A4C">
              <w:rPr>
                <w:rFonts w:ascii="Times New Roman" w:hAnsi="Times New Roman" w:cs="Times New Roman"/>
                <w:sz w:val="24"/>
                <w:szCs w:val="24"/>
              </w:rPr>
              <w:t xml:space="preserve"> 28 декабря 2022 г., 9 марта 2023 г.</w:t>
            </w:r>
          </w:p>
        </w:tc>
      </w:tr>
      <w:tr w:rsidR="002306C5" w:rsidTr="005313DC">
        <w:tc>
          <w:tcPr>
            <w:tcW w:w="499" w:type="dxa"/>
          </w:tcPr>
          <w:p w:rsidR="0098172A" w:rsidRDefault="0098172A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98172A" w:rsidRDefault="0098172A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 тысяч рублей на оплату ипотеки</w:t>
            </w:r>
            <w:r w:rsidR="00FC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третьего ребенка</w:t>
            </w:r>
          </w:p>
        </w:tc>
        <w:tc>
          <w:tcPr>
            <w:tcW w:w="5412" w:type="dxa"/>
          </w:tcPr>
          <w:p w:rsidR="0098172A" w:rsidRPr="0098172A" w:rsidRDefault="0098172A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2A">
              <w:rPr>
                <w:rFonts w:ascii="Times New Roman" w:hAnsi="Times New Roman" w:cs="Times New Roman"/>
                <w:b/>
                <w:sz w:val="24"/>
                <w:szCs w:val="24"/>
              </w:rPr>
              <w:t>Могут 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172A">
              <w:rPr>
                <w:rFonts w:ascii="Times New Roman" w:hAnsi="Times New Roman" w:cs="Times New Roman"/>
                <w:sz w:val="24"/>
                <w:szCs w:val="24"/>
              </w:rPr>
              <w:t>мать или отец, у которых в период с 1 янв</w:t>
            </w:r>
            <w:r w:rsidR="00FF4A4C">
              <w:rPr>
                <w:rFonts w:ascii="Times New Roman" w:hAnsi="Times New Roman" w:cs="Times New Roman"/>
                <w:sz w:val="24"/>
                <w:szCs w:val="24"/>
              </w:rPr>
              <w:t>аря 2019 года по 31 декабря 2023</w:t>
            </w:r>
            <w:r w:rsidRPr="0098172A">
              <w:rPr>
                <w:rFonts w:ascii="Times New Roman" w:hAnsi="Times New Roman" w:cs="Times New Roman"/>
                <w:sz w:val="24"/>
                <w:szCs w:val="24"/>
              </w:rPr>
              <w:t xml:space="preserve"> года родились третий ребенок или последующие </w:t>
            </w:r>
            <w:proofErr w:type="gramStart"/>
            <w:r w:rsidRPr="0098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proofErr w:type="gramEnd"/>
            <w:r w:rsidRPr="009817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8172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8172A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заемщиками по ипотечному жилищному кредиту (займу).</w:t>
            </w:r>
          </w:p>
          <w:p w:rsidR="0098172A" w:rsidRPr="0098172A" w:rsidRDefault="00FC1795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получить</w:t>
            </w:r>
            <w:r w:rsidR="0098172A">
              <w:rPr>
                <w:rFonts w:ascii="Times New Roman" w:hAnsi="Times New Roman" w:cs="Times New Roman"/>
                <w:sz w:val="24"/>
                <w:szCs w:val="24"/>
              </w:rPr>
              <w:t>: государство погашает ипотеку в размере до 450 тысяч рублей</w:t>
            </w:r>
          </w:p>
          <w:p w:rsidR="0098172A" w:rsidRPr="00FE5604" w:rsidRDefault="0098172A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8172A" w:rsidRPr="0098172A" w:rsidRDefault="0098172A" w:rsidP="002411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3 июля 2019 г. N 157-ФЗ</w:t>
            </w:r>
          </w:p>
          <w:p w:rsidR="0098172A" w:rsidRPr="00FF4A4C" w:rsidRDefault="0098172A" w:rsidP="002411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2A">
              <w:rPr>
                <w:rFonts w:ascii="Times New Roman" w:hAnsi="Times New Roman" w:cs="Times New Roman"/>
                <w:sz w:val="24"/>
                <w:szCs w:val="24"/>
              </w:rPr>
              <w:t xml:space="preserve">"О мерах государственной поддержки семей, имеющих детей, в части погашения обязательств по ипотечным жилищным </w:t>
            </w:r>
            <w:r w:rsidRPr="0098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кредитам (займам) и о внесении изменений в статью 13.2 Федерального закона "Об актах гражданского состояния"</w:t>
            </w:r>
            <w:r w:rsidR="00FF4A4C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</w:t>
            </w:r>
            <w:r w:rsidR="00FF4A4C" w:rsidRPr="00FF4A4C">
              <w:rPr>
                <w:rFonts w:ascii="Times New Roman" w:hAnsi="Times New Roman" w:cs="Times New Roman"/>
                <w:sz w:val="24"/>
                <w:szCs w:val="24"/>
              </w:rPr>
              <w:t> 14 июля 2022 г.</w:t>
            </w:r>
          </w:p>
        </w:tc>
      </w:tr>
      <w:tr w:rsidR="00C8675B" w:rsidTr="005313DC">
        <w:tc>
          <w:tcPr>
            <w:tcW w:w="499" w:type="dxa"/>
          </w:tcPr>
          <w:p w:rsidR="00FE5604" w:rsidRPr="003B7398" w:rsidRDefault="00295389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02" w:type="dxa"/>
          </w:tcPr>
          <w:p w:rsidR="00FE5604" w:rsidRPr="003B7398" w:rsidRDefault="0038626F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денежная выплата</w:t>
            </w:r>
            <w:r w:rsidR="00FE5604" w:rsidRPr="003B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молодым специалистам учреждений бюджетной сферы в Саратовской области</w:t>
            </w:r>
          </w:p>
        </w:tc>
        <w:tc>
          <w:tcPr>
            <w:tcW w:w="5412" w:type="dxa"/>
          </w:tcPr>
          <w:p w:rsidR="0038626F" w:rsidRDefault="0038626F" w:rsidP="005313D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Могут участвовать: </w:t>
            </w:r>
            <w:r w:rsidRPr="00081E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молодые специалисты (</w:t>
            </w:r>
            <w:r w:rsidRPr="00081E20">
              <w:rPr>
                <w:rFonts w:ascii="Times New Roman" w:hAnsi="Times New Roman" w:cs="Times New Roman"/>
                <w:b/>
              </w:rPr>
              <w:t>до 30 лет</w:t>
            </w:r>
            <w:r>
              <w:rPr>
                <w:rFonts w:ascii="Times New Roman" w:hAnsi="Times New Roman" w:cs="Times New Roman"/>
              </w:rPr>
              <w:t xml:space="preserve">), получившие высшее медицинское образование и работающие по специальности, </w:t>
            </w:r>
            <w:r w:rsidRPr="00081E20">
              <w:rPr>
                <w:rFonts w:ascii="Times New Roman" w:hAnsi="Times New Roman" w:cs="Times New Roman"/>
              </w:rPr>
              <w:t xml:space="preserve">определенной </w:t>
            </w:r>
            <w:r w:rsidRPr="000C1983">
              <w:rPr>
                <w:rFonts w:ascii="Times New Roman" w:hAnsi="Times New Roman" w:cs="Times New Roman"/>
                <w:b/>
              </w:rPr>
              <w:t>Перечнем</w:t>
            </w:r>
            <w:r>
              <w:rPr>
                <w:rFonts w:ascii="Times New Roman" w:hAnsi="Times New Roman" w:cs="Times New Roman"/>
              </w:rPr>
              <w:t xml:space="preserve"> (есть </w:t>
            </w:r>
            <w:r w:rsidR="007067D3">
              <w:rPr>
                <w:rFonts w:ascii="Times New Roman" w:hAnsi="Times New Roman" w:cs="Times New Roman"/>
              </w:rPr>
              <w:t xml:space="preserve">дополнительные </w:t>
            </w:r>
            <w:r>
              <w:rPr>
                <w:rFonts w:ascii="Times New Roman" w:hAnsi="Times New Roman" w:cs="Times New Roman"/>
              </w:rPr>
              <w:t xml:space="preserve">условия,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закон)</w:t>
            </w:r>
          </w:p>
          <w:p w:rsidR="0038626F" w:rsidRPr="00FE5604" w:rsidRDefault="002306C5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получить</w:t>
            </w:r>
            <w:r w:rsidR="0038626F" w:rsidRPr="000C1983">
              <w:rPr>
                <w:rFonts w:ascii="Times New Roman" w:hAnsi="Times New Roman" w:cs="Times New Roman"/>
                <w:b/>
              </w:rPr>
              <w:t>:</w:t>
            </w:r>
            <w:r w:rsidR="0038626F">
              <w:rPr>
                <w:rFonts w:ascii="Times New Roman" w:hAnsi="Times New Roman" w:cs="Times New Roman"/>
              </w:rPr>
              <w:t xml:space="preserve"> единовременная выплата в размере 40 тыс. за 1 год работы, 35 тыс. за 2 год работы, 30 тыс. за 3 год работы.</w:t>
            </w:r>
          </w:p>
          <w:p w:rsidR="00FE5604" w:rsidRPr="00FE5604" w:rsidRDefault="00FE5604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38626F" w:rsidRPr="006F7E1F" w:rsidRDefault="0038626F" w:rsidP="006F7E1F">
            <w:pPr>
              <w:pStyle w:val="s1"/>
              <w:shd w:val="clear" w:color="auto" w:fill="FFFFFF"/>
              <w:jc w:val="both"/>
            </w:pPr>
            <w:r w:rsidRPr="006F7E1F">
              <w:t>Закон Саратовской области от 3 августа 2011 г. N 96-ЗСО</w:t>
            </w:r>
          </w:p>
          <w:p w:rsidR="0038626F" w:rsidRPr="006F7E1F" w:rsidRDefault="0038626F" w:rsidP="006F7E1F">
            <w:pPr>
              <w:pStyle w:val="s1"/>
              <w:shd w:val="clear" w:color="auto" w:fill="FFFFFF"/>
              <w:jc w:val="both"/>
            </w:pPr>
            <w:r w:rsidRPr="006F7E1F">
              <w:t>"О социальной поддержке молодых специалистов учреждений бюджетной сферы в Саратовской области"</w:t>
            </w:r>
            <w:r w:rsidR="002411E6" w:rsidRPr="006F7E1F">
              <w:t xml:space="preserve"> с изменениями от  22 февраля 2023 г.</w:t>
            </w:r>
          </w:p>
          <w:p w:rsidR="0038626F" w:rsidRPr="006F7E1F" w:rsidRDefault="0038626F" w:rsidP="006F7E1F">
            <w:pPr>
              <w:pStyle w:val="s1"/>
              <w:shd w:val="clear" w:color="auto" w:fill="FFFFFF"/>
              <w:jc w:val="both"/>
            </w:pPr>
          </w:p>
          <w:p w:rsidR="0038626F" w:rsidRPr="006F7E1F" w:rsidRDefault="0038626F" w:rsidP="006F7E1F">
            <w:pPr>
              <w:pStyle w:val="s1"/>
              <w:shd w:val="clear" w:color="auto" w:fill="FFFFFF"/>
              <w:jc w:val="both"/>
            </w:pPr>
            <w:r w:rsidRPr="006F7E1F">
              <w:t>Приложение N 1 к постановлению Правительства Саратовской области от 17 октября 2011 г. N 567-П – Перечень специальностей (должностей) работников учреждений бюджетной сферы по отраслям в муниципальных районах, городских округах Саратовской области</w:t>
            </w:r>
            <w:r w:rsidR="002411E6" w:rsidRPr="006F7E1F">
              <w:t xml:space="preserve"> с изменениями от  6 сентября 2022 г.</w:t>
            </w:r>
          </w:p>
          <w:p w:rsidR="00017501" w:rsidRPr="006F7E1F" w:rsidRDefault="00017501" w:rsidP="006F7E1F">
            <w:pPr>
              <w:pStyle w:val="s1"/>
              <w:shd w:val="clear" w:color="auto" w:fill="FFFFFF"/>
              <w:jc w:val="both"/>
            </w:pPr>
          </w:p>
        </w:tc>
      </w:tr>
      <w:tr w:rsidR="007067D3" w:rsidTr="005313DC">
        <w:tc>
          <w:tcPr>
            <w:tcW w:w="499" w:type="dxa"/>
          </w:tcPr>
          <w:p w:rsidR="007067D3" w:rsidRPr="003B7398" w:rsidRDefault="007067D3" w:rsidP="00983D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7067D3" w:rsidRDefault="007067D3" w:rsidP="00D32A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Единовременная выплата для медицинских работников на селе</w:t>
            </w:r>
          </w:p>
        </w:tc>
        <w:tc>
          <w:tcPr>
            <w:tcW w:w="5412" w:type="dxa"/>
          </w:tcPr>
          <w:p w:rsidR="007067D3" w:rsidRPr="00092C73" w:rsidRDefault="007067D3" w:rsidP="006F7E1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7E1F">
              <w:rPr>
                <w:rFonts w:ascii="Times New Roman" w:hAnsi="Times New Roman" w:cs="Times New Roman"/>
              </w:rPr>
              <w:t>Могут участвовать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92C73">
              <w:rPr>
                <w:rFonts w:ascii="Times New Roman" w:hAnsi="Times New Roman" w:cs="Times New Roman"/>
              </w:rPr>
              <w:t>медицински</w:t>
            </w:r>
            <w:r>
              <w:rPr>
                <w:rFonts w:ascii="Times New Roman" w:hAnsi="Times New Roman" w:cs="Times New Roman"/>
              </w:rPr>
              <w:t>е</w:t>
            </w:r>
            <w:r w:rsidRPr="00092C73">
              <w:rPr>
                <w:rFonts w:ascii="Times New Roman" w:hAnsi="Times New Roman" w:cs="Times New Roman"/>
              </w:rPr>
              <w:t xml:space="preserve"> работник</w:t>
            </w:r>
            <w:r>
              <w:rPr>
                <w:rFonts w:ascii="Times New Roman" w:hAnsi="Times New Roman" w:cs="Times New Roman"/>
              </w:rPr>
              <w:t>и</w:t>
            </w:r>
            <w:r w:rsidRPr="00092C73">
              <w:rPr>
                <w:rFonts w:ascii="Times New Roman" w:hAnsi="Times New Roman" w:cs="Times New Roman"/>
              </w:rPr>
              <w:t xml:space="preserve"> (врач</w:t>
            </w:r>
            <w:r>
              <w:rPr>
                <w:rFonts w:ascii="Times New Roman" w:hAnsi="Times New Roman" w:cs="Times New Roman"/>
              </w:rPr>
              <w:t>и</w:t>
            </w:r>
            <w:r w:rsidRPr="00092C73">
              <w:rPr>
                <w:rFonts w:ascii="Times New Roman" w:hAnsi="Times New Roman" w:cs="Times New Roman"/>
              </w:rPr>
              <w:t>, фельдшер</w:t>
            </w:r>
            <w:r>
              <w:rPr>
                <w:rFonts w:ascii="Times New Roman" w:hAnsi="Times New Roman" w:cs="Times New Roman"/>
              </w:rPr>
              <w:t>ы</w:t>
            </w:r>
            <w:r w:rsidRPr="00092C73">
              <w:rPr>
                <w:rFonts w:ascii="Times New Roman" w:hAnsi="Times New Roman" w:cs="Times New Roman"/>
              </w:rPr>
              <w:t xml:space="preserve">) в возрасте до 50 лет, </w:t>
            </w:r>
            <w:r>
              <w:rPr>
                <w:rFonts w:ascii="Times New Roman" w:hAnsi="Times New Roman" w:cs="Times New Roman"/>
              </w:rPr>
              <w:t>устроившиеся</w:t>
            </w:r>
            <w:r w:rsidRPr="00092C73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 работу  в село/</w:t>
            </w:r>
            <w:r w:rsidRPr="00092C73">
              <w:rPr>
                <w:rFonts w:ascii="Times New Roman" w:hAnsi="Times New Roman" w:cs="Times New Roman"/>
              </w:rPr>
              <w:t>города с населением до 50 тыс. человек</w:t>
            </w:r>
            <w:r>
              <w:rPr>
                <w:rFonts w:ascii="Times New Roman" w:hAnsi="Times New Roman" w:cs="Times New Roman"/>
              </w:rPr>
              <w:t>. Должность должна быть включена в п</w:t>
            </w:r>
            <w:r w:rsidRPr="00092C73">
              <w:rPr>
                <w:rFonts w:ascii="Times New Roman" w:hAnsi="Times New Roman" w:cs="Times New Roman"/>
              </w:rPr>
              <w:t>рограммный реестр должностей</w:t>
            </w:r>
            <w:r>
              <w:rPr>
                <w:rFonts w:ascii="Times New Roman" w:hAnsi="Times New Roman" w:cs="Times New Roman"/>
              </w:rPr>
              <w:t>, который</w:t>
            </w:r>
            <w:r w:rsidRPr="0000238E">
              <w:rPr>
                <w:rFonts w:ascii="Times New Roman" w:hAnsi="Times New Roman" w:cs="Times New Roman"/>
              </w:rPr>
              <w:t xml:space="preserve"> ежегодно формируется министерством на основании заявок главных врачей медицинских организаций, подведомственных министерству, утверждается приказом министерства и согласовывается с Министерством здравоохранения Российской Федерации.</w:t>
            </w:r>
          </w:p>
          <w:p w:rsidR="002411E6" w:rsidRPr="006F7E1F" w:rsidRDefault="007067D3" w:rsidP="006F7E1F">
            <w:pPr>
              <w:pStyle w:val="s1"/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E1F">
              <w:rPr>
                <w:rFonts w:eastAsiaTheme="minorHAnsi"/>
                <w:sz w:val="22"/>
                <w:szCs w:val="22"/>
                <w:lang w:eastAsia="en-US"/>
              </w:rPr>
              <w:t xml:space="preserve">Можно получить: </w:t>
            </w:r>
            <w:r w:rsidR="002411E6" w:rsidRPr="006F7E1F">
              <w:rPr>
                <w:rFonts w:eastAsiaTheme="minorHAnsi"/>
                <w:sz w:val="22"/>
                <w:szCs w:val="22"/>
                <w:lang w:eastAsia="en-US"/>
              </w:rPr>
              <w:t xml:space="preserve">1,5 </w:t>
            </w:r>
            <w:proofErr w:type="spellStart"/>
            <w:proofErr w:type="gramStart"/>
            <w:r w:rsidR="002411E6" w:rsidRPr="006F7E1F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spellEnd"/>
            <w:proofErr w:type="gramEnd"/>
            <w:r w:rsidR="002411E6" w:rsidRPr="006F7E1F">
              <w:rPr>
                <w:rFonts w:eastAsiaTheme="minorHAnsi"/>
                <w:sz w:val="22"/>
                <w:szCs w:val="22"/>
                <w:lang w:eastAsia="en-US"/>
              </w:rPr>
              <w:t xml:space="preserve"> рублей для врачей и 0,75 </w:t>
            </w:r>
            <w:proofErr w:type="spellStart"/>
            <w:r w:rsidR="002411E6" w:rsidRPr="006F7E1F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spellEnd"/>
            <w:r w:rsidR="002411E6" w:rsidRPr="006F7E1F">
              <w:rPr>
                <w:rFonts w:eastAsiaTheme="minorHAnsi"/>
                <w:sz w:val="22"/>
                <w:szCs w:val="22"/>
                <w:lang w:eastAsia="en-US"/>
              </w:rPr>
              <w:t xml:space="preserve">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 либо рабочие поселки, либо поселки городского типа, расположенные на удаленных и труднодоступных </w:t>
            </w:r>
            <w:r w:rsidR="002411E6" w:rsidRPr="006F7E1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территориях. Перечень удаленных и труднодоступных территорий утверждается Правительством Саратовской области;</w:t>
            </w:r>
          </w:p>
          <w:p w:rsidR="002411E6" w:rsidRPr="006F7E1F" w:rsidRDefault="002411E6" w:rsidP="006F7E1F">
            <w:pPr>
              <w:pStyle w:val="s1"/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E1F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proofErr w:type="spellStart"/>
            <w:proofErr w:type="gramStart"/>
            <w:r w:rsidRPr="006F7E1F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spellEnd"/>
            <w:proofErr w:type="gramEnd"/>
            <w:r w:rsidRPr="006F7E1F">
              <w:rPr>
                <w:rFonts w:eastAsiaTheme="minorHAnsi"/>
                <w:sz w:val="22"/>
                <w:szCs w:val="22"/>
                <w:lang w:eastAsia="en-US"/>
              </w:rPr>
              <w:t xml:space="preserve"> рублей для врачей и 0,5 </w:t>
            </w:r>
            <w:proofErr w:type="spellStart"/>
            <w:r w:rsidRPr="006F7E1F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spellEnd"/>
            <w:r w:rsidRPr="006F7E1F">
              <w:rPr>
                <w:rFonts w:eastAsiaTheme="minorHAnsi"/>
                <w:sz w:val="22"/>
                <w:szCs w:val="22"/>
                <w:lang w:eastAsia="en-US"/>
              </w:rPr>
              <w:t xml:space="preserve">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 либо рабочие поселки, либо поселки городского типа (за исключением врачей и фельдшеров, а также акушерок и медицинских сестер фельдшерских и фельдшерско-акушерских пунктов, указанных во втором абзаце части первой настоящего пункта), либо города с населением до 50 тыс. человек.</w:t>
            </w:r>
          </w:p>
          <w:p w:rsidR="006F7E1F" w:rsidRPr="006F7E1F" w:rsidRDefault="006F7E1F" w:rsidP="006F7E1F">
            <w:pPr>
              <w:pStyle w:val="s1"/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E1F">
              <w:rPr>
                <w:rFonts w:eastAsiaTheme="minorHAnsi"/>
                <w:sz w:val="22"/>
                <w:szCs w:val="22"/>
                <w:lang w:eastAsia="en-US"/>
              </w:rPr>
              <w:t>Министерство вправе принимать решение о предоставлении медицинскому работнику единовременной компенсационной выплаты:</w:t>
            </w:r>
          </w:p>
          <w:p w:rsidR="006F7E1F" w:rsidRPr="006F7E1F" w:rsidRDefault="006F7E1F" w:rsidP="006F7E1F">
            <w:pPr>
              <w:pStyle w:val="s1"/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E1F">
              <w:rPr>
                <w:rFonts w:eastAsiaTheme="minorHAnsi"/>
                <w:sz w:val="22"/>
                <w:szCs w:val="22"/>
                <w:lang w:eastAsia="en-US"/>
              </w:rPr>
              <w:t>а)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процентов;</w:t>
            </w:r>
          </w:p>
          <w:p w:rsidR="006F7E1F" w:rsidRPr="006F7E1F" w:rsidRDefault="006F7E1F" w:rsidP="006F7E1F">
            <w:pPr>
              <w:pStyle w:val="s1"/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E1F">
              <w:rPr>
                <w:rFonts w:eastAsiaTheme="minorHAnsi"/>
                <w:sz w:val="22"/>
                <w:szCs w:val="22"/>
                <w:lang w:eastAsia="en-US"/>
              </w:rPr>
              <w:t>б) 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 либо рабочем поселке, либо поселке городского типа, либо городе с населением до 50 тыс. человек;</w:t>
            </w:r>
          </w:p>
          <w:p w:rsidR="007067D3" w:rsidRPr="006F7E1F" w:rsidRDefault="006F7E1F" w:rsidP="006F7E1F">
            <w:pPr>
              <w:pStyle w:val="s1"/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F7E1F">
              <w:rPr>
                <w:rFonts w:eastAsiaTheme="minorHAnsi"/>
                <w:sz w:val="22"/>
                <w:szCs w:val="22"/>
                <w:lang w:eastAsia="en-US"/>
              </w:rPr>
              <w:t xml:space="preserve">в) при трудоустройстве медицинского работника по его желанию на работу в медицинскую организацию, расположенную в месте его проживания (в сельском населенном пункте, либо рабочем поселке, либо поселке городского типа, либо городе с населением до 50 тыс. человек), после завершения обучения в медицинской образовательной организации высшего образования или медицинской профессиональной </w:t>
            </w:r>
            <w:r w:rsidRPr="006F7E1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образовательной организации (в том числе на основании договора о целевом обучении). </w:t>
            </w:r>
            <w:proofErr w:type="gramEnd"/>
          </w:p>
        </w:tc>
        <w:tc>
          <w:tcPr>
            <w:tcW w:w="6663" w:type="dxa"/>
          </w:tcPr>
          <w:p w:rsidR="007067D3" w:rsidRPr="006F7E1F" w:rsidRDefault="007067D3" w:rsidP="006F7E1F">
            <w:pPr>
              <w:pStyle w:val="s1"/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7E1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Постановление Правительства Саратовской области от 7 мая 2014 г. N 269-П "О некоторых вопросах реализации подпрограммы 2 "Развитие кадровых ресурсов в здравоохранении" государственной программы Саратовской области "Развитие здравоохранения"</w:t>
            </w:r>
            <w:r w:rsidR="002411E6" w:rsidRPr="006F7E1F">
              <w:rPr>
                <w:rFonts w:eastAsiaTheme="minorHAnsi"/>
                <w:sz w:val="22"/>
                <w:szCs w:val="22"/>
                <w:lang w:eastAsia="en-US"/>
              </w:rPr>
              <w:t xml:space="preserve"> с изменениями от 29 сентября 2022 г.</w:t>
            </w:r>
          </w:p>
          <w:p w:rsidR="007067D3" w:rsidRPr="006F7E1F" w:rsidRDefault="007067D3" w:rsidP="006F7E1F">
            <w:pPr>
              <w:pStyle w:val="s1"/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067D3" w:rsidRPr="006F7E1F" w:rsidRDefault="007067D3" w:rsidP="006F7E1F">
            <w:pPr>
              <w:pStyle w:val="s1"/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67D3" w:rsidTr="005313DC">
        <w:tc>
          <w:tcPr>
            <w:tcW w:w="499" w:type="dxa"/>
          </w:tcPr>
          <w:p w:rsidR="007067D3" w:rsidRDefault="007067D3" w:rsidP="00983D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702" w:type="dxa"/>
          </w:tcPr>
          <w:p w:rsidR="007067D3" w:rsidRDefault="007067D3" w:rsidP="00D32A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 на оплату жилого помещения и коммунальных услуг</w:t>
            </w:r>
          </w:p>
        </w:tc>
        <w:tc>
          <w:tcPr>
            <w:tcW w:w="5412" w:type="dxa"/>
          </w:tcPr>
          <w:p w:rsidR="006F7E1F" w:rsidRPr="006F7E1F" w:rsidRDefault="007067D3" w:rsidP="006F7E1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7E1F">
              <w:rPr>
                <w:rFonts w:ascii="Times New Roman" w:hAnsi="Times New Roman" w:cs="Times New Roman"/>
              </w:rPr>
              <w:t xml:space="preserve">Могут </w:t>
            </w:r>
            <w:r w:rsidR="006F7E1F" w:rsidRPr="006F7E1F">
              <w:rPr>
                <w:rFonts w:ascii="Times New Roman" w:hAnsi="Times New Roman" w:cs="Times New Roman"/>
              </w:rPr>
              <w:t>врачам, провизорам, специалистам со средним медицинским и фармацевтическим образованием областных государственных образовательных учреждений, организаций здравоохранения, а также медицинским работникам, работающим в областных государственных организациях системы социальной защиты, согласно </w:t>
            </w:r>
            <w:hyperlink r:id="rId7" w:anchor="/document/9580314/entry/3000" w:history="1">
              <w:r w:rsidR="006F7E1F" w:rsidRPr="006F7E1F">
                <w:t>перечню</w:t>
              </w:r>
            </w:hyperlink>
            <w:r w:rsidR="006F7E1F" w:rsidRPr="006F7E1F">
              <w:rPr>
                <w:rFonts w:ascii="Times New Roman" w:hAnsi="Times New Roman" w:cs="Times New Roman"/>
              </w:rPr>
              <w:t> должностей, утвержденному Правительством области.</w:t>
            </w:r>
          </w:p>
          <w:p w:rsidR="007067D3" w:rsidRPr="006F7E1F" w:rsidRDefault="007067D3" w:rsidP="006F7E1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7E1F">
              <w:rPr>
                <w:rFonts w:ascii="Times New Roman" w:hAnsi="Times New Roman" w:cs="Times New Roman"/>
              </w:rPr>
              <w:t>Можно получить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17501">
              <w:rPr>
                <w:rFonts w:ascii="Times New Roman" w:hAnsi="Times New Roman" w:cs="Times New Roman"/>
              </w:rPr>
              <w:t>ежемесячная денежная выплата на оплату жилого помещения и коммунальных услуг предоставляется исходя из авансового расчета в размере: 500 рублей в период с 16 апреля по 14 октября; 1100 рублей в период с 15 октября по 15 апреля. Размер ежемесячной денежной выплаты на оплату жилого помещения и коммунальных услуг корректируется и окончательно определяется в размере фактически начисленных и отраженных в платежных документах сумм на оплату жилого помещения и коммунальных услуг в зависимости от содержания мер социальной поддержки по оплате жилого помещения и коммунальных услуг для данной категории граждан.</w:t>
            </w:r>
          </w:p>
        </w:tc>
        <w:tc>
          <w:tcPr>
            <w:tcW w:w="6663" w:type="dxa"/>
          </w:tcPr>
          <w:p w:rsidR="007067D3" w:rsidRPr="00974B41" w:rsidRDefault="007067D3" w:rsidP="006F7E1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74B41">
              <w:rPr>
                <w:rFonts w:ascii="Times New Roman" w:hAnsi="Times New Roman" w:cs="Times New Roman"/>
              </w:rPr>
              <w:t>Закон Саратовской области от 26 ноября 2009 г. N 175-ЗСО</w:t>
            </w:r>
          </w:p>
          <w:p w:rsidR="007067D3" w:rsidRPr="00974B41" w:rsidRDefault="007067D3" w:rsidP="006F7E1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4B41">
              <w:rPr>
                <w:rFonts w:ascii="Times New Roman" w:hAnsi="Times New Roman" w:cs="Times New Roman"/>
              </w:rPr>
              <w:t>"О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</w:t>
            </w:r>
            <w:proofErr w:type="gramEnd"/>
          </w:p>
          <w:p w:rsidR="007067D3" w:rsidRPr="00974B41" w:rsidRDefault="007067D3" w:rsidP="006F7E1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74B41">
              <w:rPr>
                <w:rFonts w:ascii="Times New Roman" w:hAnsi="Times New Roman" w:cs="Times New Roman"/>
              </w:rPr>
              <w:t>городского типа)"</w:t>
            </w:r>
            <w:r w:rsidR="006F7E1F">
              <w:rPr>
                <w:rFonts w:ascii="Times New Roman" w:hAnsi="Times New Roman" w:cs="Times New Roman"/>
              </w:rPr>
              <w:t xml:space="preserve"> с изменениями то </w:t>
            </w:r>
            <w:r w:rsidR="006F7E1F" w:rsidRPr="006F7E1F">
              <w:rPr>
                <w:rFonts w:ascii="Times New Roman" w:hAnsi="Times New Roman" w:cs="Times New Roman"/>
              </w:rPr>
              <w:t> 2 июня 2020 г.</w:t>
            </w:r>
          </w:p>
          <w:p w:rsidR="007067D3" w:rsidRPr="00974B41" w:rsidRDefault="007067D3" w:rsidP="006F7E1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067D3" w:rsidRPr="00974B41" w:rsidRDefault="007067D3" w:rsidP="006F7E1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74B41">
              <w:rPr>
                <w:rFonts w:ascii="Times New Roman" w:hAnsi="Times New Roman" w:cs="Times New Roman"/>
              </w:rPr>
              <w:t>Перечень должностей</w:t>
            </w:r>
            <w:r>
              <w:rPr>
                <w:rFonts w:ascii="Times New Roman" w:hAnsi="Times New Roman" w:cs="Times New Roman"/>
              </w:rPr>
              <w:t>:</w:t>
            </w:r>
            <w:r w:rsidRPr="00974B41">
              <w:rPr>
                <w:rFonts w:ascii="Times New Roman" w:hAnsi="Times New Roman" w:cs="Times New Roman"/>
              </w:rPr>
              <w:t xml:space="preserve"> Приложение N 3 к постановлению Правительства Саратовской области от 22 апреля 2010 г. N 150-П</w:t>
            </w:r>
          </w:p>
        </w:tc>
      </w:tr>
      <w:tr w:rsidR="007067D3" w:rsidTr="005313DC">
        <w:tc>
          <w:tcPr>
            <w:tcW w:w="499" w:type="dxa"/>
          </w:tcPr>
          <w:p w:rsidR="007067D3" w:rsidRDefault="006F7E1F" w:rsidP="00983D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7067D3" w:rsidRDefault="007067D3" w:rsidP="00D32A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Субсидия молодым специалистам на оплату процентов по ипотеке</w:t>
            </w:r>
          </w:p>
        </w:tc>
        <w:tc>
          <w:tcPr>
            <w:tcW w:w="5412" w:type="dxa"/>
          </w:tcPr>
          <w:p w:rsidR="007067D3" w:rsidRDefault="007067D3" w:rsidP="005313D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Могут участвовать: </w:t>
            </w:r>
            <w:r w:rsidRPr="00081E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работники учреждений здравоохранения до 35 лет, работающие по должности в соответствии с </w:t>
            </w:r>
            <w:r w:rsidRPr="00776808">
              <w:rPr>
                <w:rFonts w:ascii="Times New Roman" w:hAnsi="Times New Roman" w:cs="Times New Roman"/>
                <w:b/>
              </w:rPr>
              <w:t>Перечнем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776808">
              <w:rPr>
                <w:rFonts w:ascii="Times New Roman" w:hAnsi="Times New Roman" w:cs="Times New Roman"/>
              </w:rPr>
              <w:t>имеющие высшее образование и стаж более года, имеющие ипотек</w:t>
            </w:r>
            <w:proofErr w:type="gramStart"/>
            <w:r w:rsidRPr="0077680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есть другие условия, см.закон)</w:t>
            </w:r>
          </w:p>
          <w:p w:rsidR="006F7E1F" w:rsidRPr="006F7E1F" w:rsidRDefault="006F7E1F" w:rsidP="005313D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F7E1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Обязательно наличие высшего образования и стажа работы в учреждениях бюджетной сферы по специальности не менее одного года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</w:t>
            </w:r>
          </w:p>
          <w:p w:rsidR="007067D3" w:rsidRDefault="007067D3" w:rsidP="005313D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067D3" w:rsidRPr="00776808" w:rsidRDefault="007067D3" w:rsidP="005313D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получить</w:t>
            </w:r>
            <w:r w:rsidRPr="000C198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предоставляется субсидия в размере </w:t>
            </w:r>
            <w:r w:rsidRPr="00776808">
              <w:rPr>
                <w:rFonts w:ascii="Times New Roman" w:hAnsi="Times New Roman" w:cs="Times New Roman"/>
              </w:rPr>
              <w:t>фактически произведенных расходов на о</w:t>
            </w:r>
            <w:r>
              <w:rPr>
                <w:rFonts w:ascii="Times New Roman" w:hAnsi="Times New Roman" w:cs="Times New Roman"/>
              </w:rPr>
              <w:t>плату процентов по ипотеке</w:t>
            </w:r>
            <w:r w:rsidRPr="00776808">
              <w:rPr>
                <w:rFonts w:ascii="Times New Roman" w:hAnsi="Times New Roman" w:cs="Times New Roman"/>
              </w:rPr>
              <w:t>, но не более такого размера процентов, который определен из расчетной величины займа (кредита)</w:t>
            </w:r>
            <w:r>
              <w:rPr>
                <w:rFonts w:ascii="Times New Roman" w:hAnsi="Times New Roman" w:cs="Times New Roman"/>
              </w:rPr>
              <w:t xml:space="preserve"> (см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акон)</w:t>
            </w:r>
          </w:p>
        </w:tc>
        <w:tc>
          <w:tcPr>
            <w:tcW w:w="6663" w:type="dxa"/>
          </w:tcPr>
          <w:p w:rsidR="007067D3" w:rsidRPr="00776808" w:rsidRDefault="007067D3" w:rsidP="006F7E1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76808">
              <w:rPr>
                <w:rFonts w:ascii="Times New Roman" w:hAnsi="Times New Roman" w:cs="Times New Roman"/>
              </w:rPr>
              <w:t>Закон Саратовской области от 31 мая 2011 г. N 54-ЗСО</w:t>
            </w:r>
          </w:p>
          <w:p w:rsidR="007067D3" w:rsidRDefault="007067D3" w:rsidP="006F7E1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76808">
              <w:rPr>
                <w:rFonts w:ascii="Times New Roman" w:hAnsi="Times New Roman" w:cs="Times New Roman"/>
              </w:rPr>
              <w:t>"О предоставлении меры социальной поддержки работникам бюджетной сферы, приобретающим жилые помещения с привлечением заемных средств"</w:t>
            </w:r>
            <w:r w:rsidR="006F7E1F">
              <w:rPr>
                <w:rFonts w:ascii="Times New Roman" w:hAnsi="Times New Roman" w:cs="Times New Roman"/>
              </w:rPr>
              <w:t xml:space="preserve"> с изменениями от </w:t>
            </w:r>
            <w:r w:rsidR="006F7E1F" w:rsidRPr="006F7E1F">
              <w:rPr>
                <w:rFonts w:ascii="Times New Roman" w:hAnsi="Times New Roman" w:cs="Times New Roman"/>
              </w:rPr>
              <w:t>29 июня 2021 г.</w:t>
            </w:r>
          </w:p>
          <w:p w:rsidR="007067D3" w:rsidRDefault="007067D3" w:rsidP="006F7E1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067D3" w:rsidRPr="006F7E1F" w:rsidRDefault="007067D3" w:rsidP="006F7E1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Перечень: </w:t>
            </w:r>
            <w:r w:rsidRPr="0000238E">
              <w:rPr>
                <w:rFonts w:ascii="Times New Roman" w:hAnsi="Times New Roman" w:cs="Times New Roman"/>
              </w:rPr>
              <w:t>Приложение N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38E">
              <w:rPr>
                <w:rFonts w:ascii="Times New Roman" w:hAnsi="Times New Roman" w:cs="Times New Roman"/>
              </w:rPr>
              <w:t>к постановлению Правительства Саратовской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38E">
              <w:rPr>
                <w:rFonts w:ascii="Times New Roman" w:hAnsi="Times New Roman" w:cs="Times New Roman"/>
              </w:rPr>
              <w:t>от 17 октября 2011 г. N 567-П</w:t>
            </w:r>
            <w:r w:rsidR="000C2EF1">
              <w:rPr>
                <w:rFonts w:ascii="Times New Roman" w:hAnsi="Times New Roman" w:cs="Times New Roman"/>
              </w:rPr>
              <w:t xml:space="preserve"> с изменениями от </w:t>
            </w:r>
            <w:r w:rsidR="000C2EF1" w:rsidRPr="000C2EF1">
              <w:rPr>
                <w:rFonts w:ascii="Times New Roman" w:hAnsi="Times New Roman" w:cs="Times New Roman"/>
              </w:rPr>
              <w:t>6 сентября 2022 г.</w:t>
            </w:r>
          </w:p>
        </w:tc>
      </w:tr>
      <w:tr w:rsidR="007067D3" w:rsidTr="005313DC">
        <w:tc>
          <w:tcPr>
            <w:tcW w:w="499" w:type="dxa"/>
          </w:tcPr>
          <w:p w:rsidR="007067D3" w:rsidRDefault="007067D3" w:rsidP="00983D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7067D3" w:rsidRPr="003B7398" w:rsidRDefault="007067D3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при рождении детей</w:t>
            </w:r>
          </w:p>
        </w:tc>
        <w:tc>
          <w:tcPr>
            <w:tcW w:w="5412" w:type="dxa"/>
          </w:tcPr>
          <w:p w:rsidR="00987A9C" w:rsidRDefault="007067D3" w:rsidP="00987A9C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t xml:space="preserve">- </w:t>
            </w:r>
            <w:proofErr w:type="spellStart"/>
            <w:r>
              <w:t>Е</w:t>
            </w:r>
            <w:r w:rsidRPr="00FE5604">
              <w:t>диноразово</w:t>
            </w:r>
            <w:r>
              <w:t>е</w:t>
            </w:r>
            <w:proofErr w:type="spellEnd"/>
            <w:r w:rsidRPr="00FE5604">
              <w:t xml:space="preserve"> пособи</w:t>
            </w:r>
            <w:r>
              <w:t xml:space="preserve">е </w:t>
            </w:r>
            <w:r w:rsidRPr="00FE5604">
              <w:t>при рождении первенца (независимо от официальног</w:t>
            </w:r>
            <w:r>
              <w:t>о трудоустройства отца/матери</w:t>
            </w:r>
            <w:r w:rsidR="00987A9C">
              <w:t xml:space="preserve">, </w:t>
            </w:r>
            <w:r w:rsidR="00987A9C" w:rsidRPr="00987A9C">
              <w:rPr>
                <w:bCs/>
                <w:color w:val="22272F"/>
                <w:sz w:val="23"/>
                <w:szCs w:val="23"/>
              </w:rPr>
              <w:t xml:space="preserve">Продолжительность выплаты </w:t>
            </w:r>
            <w:r w:rsidR="00987A9C" w:rsidRPr="00987A9C">
              <w:rPr>
                <w:bCs/>
                <w:color w:val="22272F"/>
                <w:sz w:val="23"/>
                <w:szCs w:val="23"/>
              </w:rPr>
              <w:lastRenderedPageBreak/>
              <w:t>ежемесячного пособия в связи с рождением и воспитанием ребенка</w:t>
            </w:r>
            <w:r w:rsidR="00987A9C">
              <w:rPr>
                <w:bCs/>
                <w:color w:val="22272F"/>
                <w:sz w:val="23"/>
                <w:szCs w:val="23"/>
              </w:rPr>
              <w:t xml:space="preserve"> (</w:t>
            </w:r>
            <w:r w:rsidR="00987A9C">
              <w:rPr>
                <w:color w:val="22272F"/>
                <w:sz w:val="23"/>
                <w:szCs w:val="23"/>
              </w:rPr>
              <w:t xml:space="preserve">Ежемесячное пособие в связи с рождением и воспитанием ребенка женщине, вставшей на учет в медицинской организации в ранние сроки беременности, назначается при обращении женщины после наступления срока беременности двенадцать недель и выплачивается за </w:t>
            </w:r>
            <w:proofErr w:type="gramStart"/>
            <w:r w:rsidR="00987A9C">
              <w:rPr>
                <w:color w:val="22272F"/>
                <w:sz w:val="23"/>
                <w:szCs w:val="23"/>
              </w:rPr>
              <w:t>период</w:t>
            </w:r>
            <w:proofErr w:type="gramEnd"/>
            <w:r w:rsidR="00987A9C">
              <w:rPr>
                <w:color w:val="22272F"/>
                <w:sz w:val="23"/>
                <w:szCs w:val="23"/>
              </w:rPr>
              <w:t xml:space="preserve"> начиная с месяца постановки ее на учет в медицинской организации (но не ранее наступления срока беременности шесть недель) до месяца родов или прерывания беременности (включительно). </w:t>
            </w:r>
            <w:proofErr w:type="gramStart"/>
            <w:r w:rsidR="00987A9C">
              <w:rPr>
                <w:color w:val="22272F"/>
                <w:sz w:val="23"/>
                <w:szCs w:val="23"/>
              </w:rPr>
              <w:t xml:space="preserve">Если прерывание беременности произошло до наступления срока беременности двенадцать недель, выплата указанного пособия не осуществляется) </w:t>
            </w:r>
            <w:r w:rsidR="00987A9C">
              <w:rPr>
                <w:color w:val="22272F"/>
                <w:sz w:val="23"/>
                <w:szCs w:val="23"/>
                <w:shd w:val="clear" w:color="auto" w:fill="FFFFFF"/>
              </w:rPr>
              <w:t>Единовременное пособие при рождении ребенка выплачивается в размере 8 000 рублей.</w:t>
            </w:r>
            <w:r w:rsidR="00987A9C">
              <w:rPr>
                <w:color w:val="22272F"/>
                <w:sz w:val="23"/>
                <w:szCs w:val="23"/>
              </w:rPr>
              <w:t xml:space="preserve">; </w:t>
            </w:r>
            <w:proofErr w:type="gramEnd"/>
          </w:p>
          <w:p w:rsidR="007067D3" w:rsidRDefault="007067D3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Декретные п</w:t>
            </w:r>
            <w:r w:rsidRPr="00FE5604">
              <w:rPr>
                <w:rFonts w:ascii="Times New Roman" w:hAnsi="Times New Roman" w:cs="Times New Roman"/>
                <w:sz w:val="24"/>
                <w:szCs w:val="24"/>
              </w:rPr>
              <w:t>особия (их можно оформить не только на мать, но и отца, бабушку, дедушку);</w:t>
            </w:r>
          </w:p>
          <w:p w:rsidR="000C2EF1" w:rsidRDefault="000C2EF1" w:rsidP="000C2EF1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Право на ежемесячное пособие в связи с рождением и воспитанием ребенка возникает в случае, если размер среднедушевого дохода семьи, рассчитанный в соответствии с </w:t>
            </w:r>
            <w:hyperlink r:id="rId8" w:anchor="/document/10101162/entry/906" w:history="1">
              <w:r>
                <w:rPr>
                  <w:rStyle w:val="a4"/>
                  <w:color w:val="3272C0"/>
                  <w:sz w:val="23"/>
                  <w:szCs w:val="23"/>
                  <w:u w:val="none"/>
                </w:rPr>
                <w:t>частью шестой</w:t>
              </w:r>
            </w:hyperlink>
            <w:r>
              <w:rPr>
                <w:color w:val="22272F"/>
                <w:sz w:val="23"/>
                <w:szCs w:val="23"/>
              </w:rPr>
              <w:t> 9 ст.,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 в соответствии с </w:t>
            </w:r>
            <w:hyperlink r:id="rId9" w:anchor="/document/172780/entry/0" w:history="1">
              <w:r>
                <w:rPr>
                  <w:rStyle w:val="a4"/>
                  <w:color w:val="3272C0"/>
                  <w:sz w:val="23"/>
                  <w:szCs w:val="23"/>
                  <w:u w:val="none"/>
                </w:rPr>
                <w:t>Федеральным законом</w:t>
              </w:r>
            </w:hyperlink>
            <w:r>
              <w:rPr>
                <w:color w:val="22272F"/>
                <w:sz w:val="23"/>
                <w:szCs w:val="23"/>
              </w:rPr>
              <w:t> от 24 октября 1997 года N 134-ФЗ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"О прожиточном минимуме в Российской Федерации" на дату обращения за назначением указанного пособия.</w:t>
            </w:r>
          </w:p>
          <w:p w:rsidR="000C2EF1" w:rsidRDefault="000C2EF1" w:rsidP="00987A9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 xml:space="preserve">При определении права на ежемесячное пособие в связи с рождением и воспитанием ребенка учитываются наличие у заявителя и членов его семьи движимого и недвижимого имущества, доходов в виде процентов, полученных по вкладам (остаткам на счетах) в банках и иных кредитных </w:t>
            </w:r>
            <w:r>
              <w:rPr>
                <w:color w:val="22272F"/>
                <w:sz w:val="23"/>
                <w:szCs w:val="23"/>
              </w:rPr>
              <w:lastRenderedPageBreak/>
              <w:t>организациях, причины отсутствия доходов у заявителя и (или) трудоспособных членов его семьи (за исключением несовершеннолетних детей) в соответствии с порядком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и условиями назначения и выплаты указанного пособия, устанавливаемыми Правительством Российской Федерации.</w:t>
            </w:r>
          </w:p>
          <w:p w:rsidR="000C2EF1" w:rsidRDefault="000C2EF1" w:rsidP="00987A9C">
            <w:pPr>
              <w:pStyle w:val="s1"/>
              <w:shd w:val="clear" w:color="auto" w:fill="FFFFFF"/>
              <w:spacing w:before="0" w:beforeAutospacing="0"/>
              <w:jc w:val="both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Среднедушевой доход семьи при назначении ежемесячного пособия в связи с рождением и воспитанием ребенка рассчитывается исходя из суммы доходов всех членов семьи за последние двенадцать календарных месяцев (в том числе в случае представления документов (сведений) о доходах семьи за период менее двенадцати календарных месяцев), предшествовавших месяцу перед месяцем обращения за назначением указанного пособия, путем деления одной двенадцатой суммы доходов всех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членов семьи за расчетный период на число членов семьи.</w:t>
            </w:r>
          </w:p>
          <w:p w:rsidR="007067D3" w:rsidRDefault="007067D3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Материнский капитал – с</w:t>
            </w:r>
            <w:r w:rsidRPr="00FE5604">
              <w:rPr>
                <w:rFonts w:ascii="Times New Roman" w:hAnsi="Times New Roman" w:cs="Times New Roman"/>
                <w:sz w:val="24"/>
                <w:szCs w:val="24"/>
              </w:rPr>
              <w:t xml:space="preserve"> его помощью можно улучшить жилищные условия, оплатить детское образование, увеличить пенсию матери;</w:t>
            </w:r>
          </w:p>
          <w:p w:rsidR="00987A9C" w:rsidRPr="00FE5604" w:rsidRDefault="00987A9C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9C" w:rsidRPr="00B468D1" w:rsidRDefault="007067D3" w:rsidP="00987A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7A9C">
              <w:rPr>
                <w:color w:val="22272F"/>
                <w:sz w:val="23"/>
                <w:szCs w:val="23"/>
                <w:shd w:val="clear" w:color="auto" w:fill="FFFFFF"/>
              </w:rPr>
              <w:t> </w:t>
            </w:r>
            <w:r w:rsidR="00987A9C" w:rsidRPr="00B468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 на получение ежемесячной выплаты в связи с рождением (усыновлением) первого ребенка возникает в случае, если ребенок рожден (усыновлен) в период с 1 января 2018 года до 1 января 2023 года, является гражданином Российской Федерации и если </w:t>
            </w:r>
            <w:hyperlink r:id="rId10" w:anchor="/document/71846616/entry/48" w:history="1">
              <w:r w:rsidR="00987A9C" w:rsidRPr="00B468D1">
                <w:rPr>
                  <w:rStyle w:val="a4"/>
                  <w:rFonts w:ascii="Times New Roman" w:hAnsi="Times New Roman" w:cs="Times New Roman"/>
                  <w:color w:val="3272C0"/>
                  <w:sz w:val="24"/>
                  <w:szCs w:val="24"/>
                  <w:shd w:val="clear" w:color="auto" w:fill="FFFFFF"/>
                </w:rPr>
                <w:t>размер</w:t>
              </w:r>
            </w:hyperlink>
            <w:r w:rsidR="00987A9C" w:rsidRPr="00B468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среднедушевого дохода семьи не превышает 2-кратную </w:t>
            </w:r>
            <w:hyperlink r:id="rId11" w:anchor="/document/3921257/entry/4" w:history="1">
              <w:r w:rsidR="00987A9C" w:rsidRPr="00B468D1">
                <w:rPr>
                  <w:rStyle w:val="a4"/>
                  <w:rFonts w:ascii="Times New Roman" w:hAnsi="Times New Roman" w:cs="Times New Roman"/>
                  <w:color w:val="3272C0"/>
                  <w:sz w:val="24"/>
                  <w:szCs w:val="24"/>
                  <w:shd w:val="clear" w:color="auto" w:fill="FFFFFF"/>
                </w:rPr>
                <w:t>величину</w:t>
              </w:r>
            </w:hyperlink>
            <w:r w:rsidR="00987A9C" w:rsidRPr="00B468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прожиточного минимума трудоспособного населения, установленную в субъекте Российской Федерации в соответствии с </w:t>
            </w:r>
            <w:hyperlink r:id="rId12" w:anchor="/document/172780/entry/403" w:history="1">
              <w:r w:rsidR="00987A9C" w:rsidRPr="00B468D1">
                <w:rPr>
                  <w:rStyle w:val="a4"/>
                  <w:rFonts w:ascii="Times New Roman" w:hAnsi="Times New Roman" w:cs="Times New Roman"/>
                  <w:color w:val="3272C0"/>
                  <w:sz w:val="24"/>
                  <w:szCs w:val="24"/>
                  <w:shd w:val="clear" w:color="auto" w:fill="FFFFFF"/>
                </w:rPr>
                <w:t>пунктом 3 статьи</w:t>
              </w:r>
              <w:proofErr w:type="gramEnd"/>
              <w:r w:rsidR="00987A9C" w:rsidRPr="00B468D1">
                <w:rPr>
                  <w:rStyle w:val="a4"/>
                  <w:rFonts w:ascii="Times New Roman" w:hAnsi="Times New Roman" w:cs="Times New Roman"/>
                  <w:color w:val="3272C0"/>
                  <w:sz w:val="24"/>
                  <w:szCs w:val="24"/>
                  <w:shd w:val="clear" w:color="auto" w:fill="FFFFFF"/>
                </w:rPr>
                <w:t xml:space="preserve"> 4</w:t>
              </w:r>
            </w:hyperlink>
            <w:r w:rsidR="00987A9C" w:rsidRPr="00B468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Федерального закона от 24 октября 1997 года N 134-ФЗ "О прожиточном минимуме в Российской Федерации".</w:t>
            </w:r>
          </w:p>
          <w:p w:rsidR="007067D3" w:rsidRPr="00FE5604" w:rsidRDefault="007067D3" w:rsidP="00B468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5604">
              <w:rPr>
                <w:rFonts w:ascii="Times New Roman" w:hAnsi="Times New Roman" w:cs="Times New Roman"/>
                <w:sz w:val="24"/>
                <w:szCs w:val="24"/>
              </w:rPr>
              <w:t>Дети до 3 лет бесплатно получают лекарственные средства.</w:t>
            </w:r>
          </w:p>
        </w:tc>
        <w:tc>
          <w:tcPr>
            <w:tcW w:w="6663" w:type="dxa"/>
          </w:tcPr>
          <w:p w:rsidR="007067D3" w:rsidRPr="00D6381D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19 мая 1995 г. N 81-ФЗ "О государственных пособиях гражданам, имеющим детей" </w:t>
            </w:r>
          </w:p>
          <w:p w:rsidR="007067D3" w:rsidRPr="00D6381D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3" w:rsidRPr="00D6381D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29 декабря 2006 г. N 256-ФЗ "О дополнительных мерах государственной поддержки семей, имеющих детей"</w:t>
            </w:r>
          </w:p>
          <w:p w:rsidR="007067D3" w:rsidRPr="00D6381D" w:rsidRDefault="000C2EF1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t>С изменениями от 21 ноября 2022 г.</w:t>
            </w:r>
          </w:p>
          <w:p w:rsidR="000C2EF1" w:rsidRPr="00D6381D" w:rsidRDefault="000C2EF1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D3" w:rsidRPr="00D6381D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 декабря 2017 г. N 418-ФЗ "О ежемесячных выплатах семьям, имеющим детей" </w:t>
            </w:r>
            <w:r w:rsidR="00987A9C" w:rsidRPr="00D6381D">
              <w:rPr>
                <w:rFonts w:ascii="Times New Roman" w:hAnsi="Times New Roman" w:cs="Times New Roman"/>
                <w:sz w:val="24"/>
                <w:szCs w:val="24"/>
              </w:rPr>
              <w:t>с изменениями от 5 декабря 2022 г.</w:t>
            </w:r>
          </w:p>
          <w:p w:rsidR="00B468D1" w:rsidRPr="00D6381D" w:rsidRDefault="00B468D1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6381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"https://internet.garant.ru/" \l "/document/12157749/paragraph/1073752374/doclist/5547/2/0/0/JTVCJTdCJTIybmVlZF9jb3JyZWN0aW9uJTIyJTNBZmFsc2UlMkMlMjJjb250ZXh0JTIyJTNBJTIyJTVDdTA0M2MlNUN1MDQzMCU1Q3UwNDQyJTVDdTA0MzUlNUN1MDQ0MCU1Q3UwNDM4JTVDdTA0M2QlNUN1MDQ0MSU1Q3UwNDNhJTVDdTA0MzglNUN1MDQzOSUyMCU1Q3UwNDNhJTVDdTA0MzAlNUN1MDQzZiU1Q3UwNDM4JTVDdTA0NDIlNUN1MDQzMCU1Q3UwNDNiJTIyJTdEJTVE" </w:instrText>
            </w:r>
            <w:r w:rsidRPr="00D638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468D1" w:rsidRPr="00D6381D" w:rsidRDefault="00B468D1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 декабря 2007 г. N 862 "О Правилах направления средств (части средств) материнского (семейного) капитала на улучшение жилищных условий" (с изменениями и дополнениями)</w:t>
            </w:r>
          </w:p>
          <w:p w:rsidR="00B468D1" w:rsidRPr="00D6381D" w:rsidRDefault="00B468D1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067D3" w:rsidRPr="00D6381D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  <w:p w:rsidR="007067D3" w:rsidRPr="00D6381D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D3" w:rsidTr="005313DC">
        <w:tc>
          <w:tcPr>
            <w:tcW w:w="499" w:type="dxa"/>
          </w:tcPr>
          <w:p w:rsidR="007067D3" w:rsidRPr="003B7398" w:rsidRDefault="007067D3" w:rsidP="003862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2" w:type="dxa"/>
          </w:tcPr>
          <w:p w:rsidR="007067D3" w:rsidRDefault="007067D3" w:rsidP="002306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налоговые вычеты на обучение</w:t>
            </w:r>
          </w:p>
        </w:tc>
        <w:tc>
          <w:tcPr>
            <w:tcW w:w="5412" w:type="dxa"/>
          </w:tcPr>
          <w:p w:rsidR="007067D3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C5">
              <w:rPr>
                <w:rFonts w:ascii="Times New Roman" w:hAnsi="Times New Roman" w:cs="Times New Roman"/>
                <w:b/>
                <w:sz w:val="24"/>
                <w:szCs w:val="24"/>
              </w:rPr>
              <w:t>Можно получить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налоговые вычеты в размере 13% от понесенных расходов на обучение (максимально – </w:t>
            </w:r>
            <w:r w:rsidR="00D6381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год)</w:t>
            </w:r>
          </w:p>
        </w:tc>
        <w:tc>
          <w:tcPr>
            <w:tcW w:w="6663" w:type="dxa"/>
          </w:tcPr>
          <w:p w:rsidR="007067D3" w:rsidRPr="00D6381D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t>https://www.nalog.ru/rn77/taxation/taxes/ndfl/nalog_vichet/soc_nv/soc_nv_ob/</w:t>
            </w:r>
          </w:p>
          <w:p w:rsidR="007067D3" w:rsidRPr="00D6381D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t>п.2 ст.219 НК РФ</w:t>
            </w:r>
          </w:p>
        </w:tc>
      </w:tr>
      <w:tr w:rsidR="007067D3" w:rsidTr="005313DC">
        <w:tc>
          <w:tcPr>
            <w:tcW w:w="499" w:type="dxa"/>
          </w:tcPr>
          <w:p w:rsidR="007067D3" w:rsidRDefault="007067D3" w:rsidP="003862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7067D3" w:rsidRDefault="007067D3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Бесплатное посещение музеев для студентов</w:t>
            </w:r>
          </w:p>
        </w:tc>
        <w:tc>
          <w:tcPr>
            <w:tcW w:w="5412" w:type="dxa"/>
          </w:tcPr>
          <w:p w:rsidR="007067D3" w:rsidRDefault="007067D3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Pr="005313D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5313DC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профессиональным образовательным программам,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Pr="005313D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бесплатное посещение государственных и муниципальных музеев не реже одного раза в месяц</w:t>
            </w:r>
          </w:p>
        </w:tc>
        <w:tc>
          <w:tcPr>
            <w:tcW w:w="6663" w:type="dxa"/>
          </w:tcPr>
          <w:p w:rsidR="007067D3" w:rsidRPr="00D6381D" w:rsidRDefault="007067D3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t xml:space="preserve">"Основы законодательства Российской Федерации о культуре" (утв. </w:t>
            </w:r>
            <w:proofErr w:type="gramStart"/>
            <w:r w:rsidRPr="00D6381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6381D">
              <w:rPr>
                <w:rFonts w:ascii="Times New Roman" w:hAnsi="Times New Roman" w:cs="Times New Roman"/>
                <w:sz w:val="24"/>
                <w:szCs w:val="24"/>
              </w:rPr>
              <w:t xml:space="preserve"> РФ 09.10.1992 N 3612-1) (ред. от 18.07.2019)</w:t>
            </w:r>
            <w:r w:rsidR="00D6381D" w:rsidRPr="00D6381D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10 июля 2023 г.</w:t>
            </w:r>
          </w:p>
        </w:tc>
      </w:tr>
      <w:tr w:rsidR="00C54A4C" w:rsidTr="005313DC">
        <w:tc>
          <w:tcPr>
            <w:tcW w:w="499" w:type="dxa"/>
          </w:tcPr>
          <w:p w:rsidR="00C54A4C" w:rsidRPr="00C54A4C" w:rsidRDefault="00C54A4C" w:rsidP="003862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702" w:type="dxa"/>
          </w:tcPr>
          <w:p w:rsidR="00C54A4C" w:rsidRPr="00C54A4C" w:rsidRDefault="00C54A4C" w:rsidP="001614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Ежемесячные денежные выплаты молодым специалистам областных государственных учреждений</w:t>
            </w:r>
          </w:p>
        </w:tc>
        <w:tc>
          <w:tcPr>
            <w:tcW w:w="5412" w:type="dxa"/>
          </w:tcPr>
          <w:p w:rsidR="00C54A4C" w:rsidRDefault="00C54A4C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4C">
              <w:rPr>
                <w:rFonts w:ascii="Times New Roman" w:hAnsi="Times New Roman" w:cs="Times New Roman"/>
                <w:b/>
                <w:sz w:val="24"/>
                <w:szCs w:val="24"/>
              </w:rPr>
              <w:t>Могут участвовать: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A4C">
              <w:rPr>
                <w:rFonts w:ascii="Times New Roman" w:hAnsi="Times New Roman" w:cs="Times New Roman"/>
                <w:sz w:val="24"/>
                <w:szCs w:val="24"/>
              </w:rPr>
              <w:t xml:space="preserve">молодые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возрасте до 30 лет (включая день исполнения 30 лет), окончившие образовательную организацию высшего образования или образовательное учреждение среднего профессионального образования, работающих в областных государственных учреждениях здравоохранения на территории Саратовской области.</w:t>
            </w:r>
          </w:p>
          <w:p w:rsidR="00D6381D" w:rsidRDefault="00C54A4C" w:rsidP="00D6381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C54A4C">
              <w:rPr>
                <w:b/>
              </w:rPr>
              <w:t>Можно получить:</w:t>
            </w:r>
            <w:r>
              <w:rPr>
                <w:b/>
              </w:rPr>
              <w:t xml:space="preserve"> </w:t>
            </w:r>
            <w:r w:rsidR="00D6381D">
              <w:rPr>
                <w:rFonts w:ascii="PT Serif" w:hAnsi="PT Serif"/>
                <w:color w:val="22272F"/>
                <w:sz w:val="23"/>
                <w:szCs w:val="23"/>
              </w:rPr>
              <w:t>врачам и работникам учреждений, имеющим высшее медицинское (фармацевтическое) или иное высшее образование, предоставляющим медицинские услуги (обеспечивающим предоставление медицинских услуг), - исходя из доведения заработной платы до 31100 рублей;</w:t>
            </w:r>
          </w:p>
          <w:p w:rsidR="00D6381D" w:rsidRDefault="00D6381D" w:rsidP="00D6381D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среднему медицинскому (фармацевтическому) персоналу учреждений - исходя из доведения заработной платы до 19000 рублей.</w:t>
            </w:r>
          </w:p>
          <w:p w:rsidR="00C54A4C" w:rsidRPr="00C54A4C" w:rsidRDefault="00C54A4C" w:rsidP="005313D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C54A4C" w:rsidRPr="00D6381D" w:rsidRDefault="00C54A4C" w:rsidP="00D6381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Саратовской области от 9 сентября 2019 года № 641-П «О мерах по повышению оплаты труда отдельных категорий работников областных государственных учреждений»</w:t>
            </w:r>
            <w:r w:rsidR="00D6381D" w:rsidRPr="00D6381D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23 ноября 2022 г.</w:t>
            </w:r>
          </w:p>
        </w:tc>
      </w:tr>
    </w:tbl>
    <w:p w:rsidR="00161492" w:rsidRPr="00161492" w:rsidRDefault="001614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sectPr w:rsidR="00161492" w:rsidRPr="00161492" w:rsidSect="005313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E22"/>
    <w:rsid w:val="0000238E"/>
    <w:rsid w:val="00017501"/>
    <w:rsid w:val="00081E20"/>
    <w:rsid w:val="00092C73"/>
    <w:rsid w:val="000C1364"/>
    <w:rsid w:val="000C1983"/>
    <w:rsid w:val="000C2EF1"/>
    <w:rsid w:val="00133D68"/>
    <w:rsid w:val="00161492"/>
    <w:rsid w:val="001D76FF"/>
    <w:rsid w:val="001F596C"/>
    <w:rsid w:val="002306C5"/>
    <w:rsid w:val="002411E6"/>
    <w:rsid w:val="0024663C"/>
    <w:rsid w:val="00290A4E"/>
    <w:rsid w:val="00295389"/>
    <w:rsid w:val="002C4E22"/>
    <w:rsid w:val="0038626F"/>
    <w:rsid w:val="003B7398"/>
    <w:rsid w:val="00483CAD"/>
    <w:rsid w:val="005313DC"/>
    <w:rsid w:val="005E10B8"/>
    <w:rsid w:val="0066686F"/>
    <w:rsid w:val="006D3C33"/>
    <w:rsid w:val="006F7E1F"/>
    <w:rsid w:val="007067D3"/>
    <w:rsid w:val="00761C42"/>
    <w:rsid w:val="00772D6B"/>
    <w:rsid w:val="00776808"/>
    <w:rsid w:val="00854D5F"/>
    <w:rsid w:val="008E0B95"/>
    <w:rsid w:val="00925BBA"/>
    <w:rsid w:val="00974B41"/>
    <w:rsid w:val="0098172A"/>
    <w:rsid w:val="00983D94"/>
    <w:rsid w:val="00987A9C"/>
    <w:rsid w:val="00B468D1"/>
    <w:rsid w:val="00C54A4C"/>
    <w:rsid w:val="00C8675B"/>
    <w:rsid w:val="00D12FCC"/>
    <w:rsid w:val="00D2308F"/>
    <w:rsid w:val="00D6381D"/>
    <w:rsid w:val="00DA520A"/>
    <w:rsid w:val="00E5284A"/>
    <w:rsid w:val="00EE67D6"/>
    <w:rsid w:val="00FC1795"/>
    <w:rsid w:val="00FC6AA3"/>
    <w:rsid w:val="00FE5604"/>
    <w:rsid w:val="00FF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D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67D3"/>
    <w:rPr>
      <w:color w:val="954F72" w:themeColor="followedHyperlink"/>
      <w:u w:val="single"/>
    </w:rPr>
  </w:style>
  <w:style w:type="paragraph" w:customStyle="1" w:styleId="s1">
    <w:name w:val="s_1"/>
    <w:basedOn w:val="a"/>
    <w:rsid w:val="0024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8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4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468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help/news/2019_04_18_family_mortgage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www.saratovmer.ru/houseforyoung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21FC-2F31-4D0D-8A90-022C21C5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HP</cp:lastModifiedBy>
  <cp:revision>2</cp:revision>
  <cp:lastPrinted>2020-02-07T04:45:00Z</cp:lastPrinted>
  <dcterms:created xsi:type="dcterms:W3CDTF">2023-08-28T08:00:00Z</dcterms:created>
  <dcterms:modified xsi:type="dcterms:W3CDTF">2023-08-28T08:00:00Z</dcterms:modified>
</cp:coreProperties>
</file>